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JEGYZŐKÖNYV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fogyasztó kifogásáról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fogyasztó és vállalkozás közötti szerződés keretében eladott dolgokra vonatkozó szavatossági és jótállási igények intézéséről szóló 19/2014. (IV. 29.) NGM rendelet alapján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Fogyasztó neve: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Fogyasztó címe: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Termék megnevezése: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Termék vételára: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Teljesítés időpontja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Hiba bejelentésének időpontja: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Hiba leírása: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Fogyasztó által érvényesíteni kívánt jog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Kifogás rendezésének módja (amennyiben eltér a fogyasztó által érvényesített igénytől, akkor ennek indoka)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Kifogás rendezésének elutasítása esetén ennek indoka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Amennyiben a terméket (kijavításra vagy a fogyasztó által érvényesíteni kívánt igény teljesíthetőségének vizsgálata érdekében) átvette a vállalkozás:</w:t>
      </w:r>
    </w:p>
    <w:tbl>
      <w:tblPr>
        <w:tblStyle w:val="Table2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termék beazonosításához szükséges adat(ok):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termék vállalkozás általi átvételének időpontja: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Időpont, amikor a fogyasztó a dolgot átveheti: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Fogyasztói jogvita esetén a fogyasztó a megyei (fővárosi) kereskedelmi és iparkamarák mellett működő békéltető testület eljárását is kezdeményezheti. Az eljárásra a fogyasztó lakóhelye vagy tartózkodási helye szerinti békéltető testület illetékes. A fogyasztó belföldi lakóhelye és tartózkodási helye hiányában a békéltető testület illetékességét a fogyasztói jogvitával érintett vállalkozás vagy az annak képviseletére feljogosított szerv székhelye alapítja meg. A békéltető testületek elérhetőségei megtalálhatóak a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www.bekeltetes.hu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oldalon.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Alulírott fogyasztó jelen jegyzőkönyv aláírásával hozzájárulok, hogy a vállalkozás a jegyzőkönyvben rögzített adataimat a 19/2014. (IV. 29.) NGM rendeletben meghatározottak szerint kezelje.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jegyzőkönyv felvételének időpontja: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0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Vállalkozás (cégszerű aláírása)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Fogyasztó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38" w:w="11906"/>
      <w:pgMar w:bottom="1417" w:top="1417" w:left="1417" w:right="1417" w:header="284" w:footer="7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2/2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Folytatás a következő oldalon!</w:t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1/2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Jegyzőkönyvet akkor kell felvenni, ha a Polgári Törvénykönyvről szóló 2013. évi V. törvény (Ptk.) szerinti fogyasztó és vállalkozás közötti szerződés esetén az eladott ingó dolog hibája miatt a fogyasztó Ptk. szerinti kellékszavatossági vagy termékszavatossági igényt vagy jogszabály alapján őt megillető jótállási igényt érvényesít. A Ptk. szerinti termékszavatossági igény érvényesítése esetén a vállalkozás helyett a dolog gyártóját terhelik a rendelet szerinti kötelezettségek.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szerződés vállalkozás általi teljesítésének időpontja a termék átadásának időpontja vagy (ha az üzembe helyezést a vállalkozás vagy annak megbízottja végezte, akkor) az üzembe helyezés időpontja.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Ptk. 6:159. § (2), valamint 6:173. § (2) bekezdése értelmében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kellékszavatossági és jótállási igény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alapján a fogyasztó választása szerint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elsősorban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kijavítást vagy kicserélést igényelhet, kivéve, ha a választott kellékszavatossági jog teljesítése lehetetlen, vagy ha az a vállalkozásnak - másik szavatossági igény teljesítésével összehasonlítva - aránytalan többletköltséget eredményezne, figyelembe véve a szolgáltatás hibátlan állapotban képviselt értékét, a szerződésszegés súlyát és a kellékszavatossági jog teljesítésével a jogosultnak okozott érdeksérelmet; vagy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másodsorban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az ellenszolgáltatás arányos leszállítását igényelheti, a hibát a vállalkozás költségére maga kijavíthatja vagy mással kijavíttathatja, vagy a szerződéstől elállhat, ha a vállalkozás a kijavítást vagy a kicserélést nem vállalta, e kötelezettségének a megfelelő határidőn belül, a fogyasztó érdekeit kímélve nem tud eleget tenni, vagy ha a fogyasztónak a kijavításhoz vagy kicseréléshez fűződő érdeke megszűnt. Jelentéktelen hiba miatt elállásnak nincs helye.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Ptk. 6:168. § (1) bekezdése alapján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termékszavatossági igény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ként a fogyasztó követelheti a gyártótól, hogy a termék hibáját javítsa ki, vagy - ha a kijavítás megfelelő határidőn belül, a fogyasztó érdekeinek sérelme nélkül nem lehetséges - a terméket cserélje ki.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 a vállalkozás a kifogás bejelentésekor a fogyasztó által bejelentett igényéről nem tud nyilatkozni, álláspontjáról – az igény elutasítása esetén annak indokáról és a békéltető testülethez fordulás lehetőségéről is – 5 munkanapon belül köteles a fogyasztót értesíteni.</w:t>
      </w:r>
    </w:p>
  </w:footnote>
  <w:footnote w:id="4"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Ld. 4. számú megjegyzést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perscript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perscript"/>
        <w:rtl w:val="0"/>
      </w:rPr>
      <w:t xml:space="preserve">A jegyzőkönyv másolatát a fogyasztónak haladéktalanul és igazolható módon kell átadni.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perscript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perscript"/>
        <w:rtl w:val="0"/>
      </w:rPr>
      <w:t xml:space="preserve">A vállalkozás köteles a jegyzőkönyvet annak felvételétől számított 3 évig megőrizni.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footer" Target="footer2.xml"/><Relationship Id="rId5" Type="http://schemas.openxmlformats.org/officeDocument/2006/relationships/numbering" Target="numbering.xml"/><Relationship Id="rId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3" Type="http://schemas.openxmlformats.org/officeDocument/2006/relationships/fontTable" Target="fontTable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7" Type="http://schemas.openxmlformats.org/officeDocument/2006/relationships/hyperlink" Target="http://www.bekeltetes.hu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